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287C486B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C1559C">
        <w:rPr>
          <w:rFonts w:asciiTheme="minorEastAsia" w:hAnsiTheme="minorEastAsia" w:hint="eastAsia"/>
          <w:b/>
          <w:sz w:val="52"/>
          <w:szCs w:val="52"/>
        </w:rPr>
        <w:t>10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C1559C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12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10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C1559C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22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C1559C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七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C1559C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八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5F0ADD84" w:rsidR="009A3C20" w:rsidRDefault="00C1559C" w:rsidP="00CF20BD">
            <w:pPr>
              <w:jc w:val="center"/>
            </w:pPr>
            <w:r>
              <w:rPr>
                <w:rFonts w:hint="eastAsia"/>
              </w:rPr>
              <w:t>10/11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3D9B091A" w:rsidR="009A3C20" w:rsidRDefault="00C1559C" w:rsidP="00CF20BD">
            <w:pPr>
              <w:jc w:val="center"/>
            </w:pPr>
            <w:r>
              <w:rPr>
                <w:rFonts w:hint="eastAsia"/>
              </w:rPr>
              <w:t>10/12</w:t>
            </w:r>
          </w:p>
        </w:tc>
        <w:tc>
          <w:tcPr>
            <w:tcW w:w="1517" w:type="dxa"/>
          </w:tcPr>
          <w:p w14:paraId="49C6533C" w14:textId="434D1E83" w:rsidR="009A3C20" w:rsidRDefault="00C1559C" w:rsidP="00CF20BD">
            <w:pPr>
              <w:jc w:val="center"/>
            </w:pPr>
            <w:r>
              <w:rPr>
                <w:rFonts w:hint="eastAsia"/>
              </w:rPr>
              <w:t>10/13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79C60470" w:rsidR="009A3C20" w:rsidRDefault="00C1559C" w:rsidP="00CF20BD">
            <w:pPr>
              <w:jc w:val="center"/>
            </w:pPr>
            <w:r>
              <w:rPr>
                <w:rFonts w:hint="eastAsia"/>
              </w:rPr>
              <w:t>10/14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24B66D9B" w:rsidR="009A3C20" w:rsidRDefault="00C1559C" w:rsidP="00CF20BD">
            <w:pPr>
              <w:jc w:val="center"/>
            </w:pPr>
            <w:r>
              <w:rPr>
                <w:rFonts w:hint="eastAsia"/>
              </w:rPr>
              <w:t>10/15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179582CF" w:rsidR="009A3C20" w:rsidRDefault="00C1559C" w:rsidP="00CF20BD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54117B97" w:rsidR="009A3C20" w:rsidRDefault="00C1559C" w:rsidP="00CF20BD">
            <w:pPr>
              <w:jc w:val="center"/>
            </w:pPr>
            <w:r>
              <w:rPr>
                <w:rFonts w:hint="eastAsia"/>
              </w:rPr>
              <w:t>10/19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055875B8" w:rsidR="009A3C20" w:rsidRDefault="00C1559C" w:rsidP="00CF20BD">
            <w:pPr>
              <w:jc w:val="center"/>
            </w:pPr>
            <w:r>
              <w:rPr>
                <w:rFonts w:hint="eastAsia"/>
              </w:rPr>
              <w:t>10/20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342606E4" w:rsidR="009A3C20" w:rsidRDefault="00C1559C" w:rsidP="00CF20BD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5300899C" w:rsidR="009A3C20" w:rsidRDefault="00C1559C" w:rsidP="00CF20BD">
            <w:pPr>
              <w:jc w:val="center"/>
            </w:pPr>
            <w:r>
              <w:rPr>
                <w:rFonts w:hint="eastAsia"/>
              </w:rPr>
              <w:t>10/22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C1559C" w14:paraId="6CEBE32A" w14:textId="7792B450" w:rsidTr="00D13F53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001D56" w14:textId="1A366ED3" w:rsidR="00C1559C" w:rsidRDefault="00C1559C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國慶假期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250A991F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vAlign w:val="center"/>
          </w:tcPr>
          <w:p w14:paraId="3F7F2531" w14:textId="48AA8A27" w:rsidR="00C1559C" w:rsidRDefault="00FD7CB5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42E78AF0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拉麵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7295F470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235AE36F" w14:textId="4EEA3051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A4BC" w14:textId="3C561DCC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7274C036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0DD57D55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2DA9C138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</w:tr>
      <w:tr w:rsidR="00C1559C" w14:paraId="62C26C42" w14:textId="276A2CD4" w:rsidTr="00D13F53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C1559C" w:rsidRDefault="00C1559C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B06F3C" w14:textId="0C7F51D2" w:rsidR="00C1559C" w:rsidRDefault="00C1559C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15928616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照燒雞</w:t>
            </w:r>
          </w:p>
        </w:tc>
        <w:tc>
          <w:tcPr>
            <w:tcW w:w="1517" w:type="dxa"/>
            <w:vAlign w:val="center"/>
          </w:tcPr>
          <w:p w14:paraId="43BE2C92" w14:textId="290FAB0D" w:rsidR="00C1559C" w:rsidRDefault="00FD7CB5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17347478" w:rsidR="00C1559C" w:rsidRDefault="00FD7CB5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炒鹹豬肉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5CEA0AEB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烤雞腿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4BD086D8" w14:textId="55308332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烤雞堡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9F65" w14:textId="4730FCF8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紅燒豬排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0B5C21D0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蒲燒鯛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4535E161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香草雞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7AA49248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鐵路豬排</w:t>
            </w:r>
          </w:p>
        </w:tc>
      </w:tr>
      <w:tr w:rsidR="00C1559C" w14:paraId="7FF0AA7E" w14:textId="40F7C904" w:rsidTr="00D13F53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ABE277" w14:textId="54791C19" w:rsidR="00C1559C" w:rsidRDefault="00C1559C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3A0D13CD" w:rsidR="00C1559C" w:rsidRDefault="00FD7CB5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泰式蝦餅</w:t>
            </w:r>
          </w:p>
        </w:tc>
        <w:tc>
          <w:tcPr>
            <w:tcW w:w="1517" w:type="dxa"/>
            <w:vAlign w:val="center"/>
          </w:tcPr>
          <w:p w14:paraId="098243EC" w14:textId="1E5347A3" w:rsidR="00C1559C" w:rsidRDefault="00FD7CB5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5A447242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黃金柳葉魚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655D5583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花生米血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5EB99D28" w14:textId="59D0C3D5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6EC94" w14:textId="51A7D2E9" w:rsidR="00C1559C" w:rsidRDefault="00FD7CB5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刈包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1A1D22CD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1B6FEF67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5349855B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皮蛋豆腐</w:t>
            </w:r>
          </w:p>
        </w:tc>
      </w:tr>
      <w:tr w:rsidR="00C1559C" w14:paraId="4DD5AB69" w14:textId="596E6ADA" w:rsidTr="00D13F53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C1559C" w:rsidRDefault="00C1559C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F6D92C" w14:textId="33913322" w:rsidR="00C1559C" w:rsidRDefault="00C1559C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7F5BCF36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1517" w:type="dxa"/>
            <w:vAlign w:val="center"/>
          </w:tcPr>
          <w:p w14:paraId="3E52EB57" w14:textId="7000E00F" w:rsidR="00C1559C" w:rsidRDefault="00FD7CB5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33B53128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1D2BA157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鬆餅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823FF68" w14:textId="7750FC13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80DBA" w14:textId="4C99ADA5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黑白切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18E7804F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百頁甜不辣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40A239DA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玉米奶酥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711C03CF" w:rsidR="00C1559C" w:rsidRDefault="00FD7CB5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</w:tr>
      <w:tr w:rsidR="00C1559C" w14:paraId="0CC11E40" w14:textId="123108F0" w:rsidTr="003263CC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C1559C" w:rsidRDefault="00C1559C" w:rsidP="00D13F5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B58A44" w14:textId="7A37C45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90" w:type="dxa"/>
            </w:tcMar>
            <w:vAlign w:val="center"/>
          </w:tcPr>
          <w:p w14:paraId="61820E4A" w14:textId="46481A93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250C6E" w14:textId="57305D5B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C1559C" w14:paraId="44072197" w14:textId="2BF82D15" w:rsidTr="00D13F53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C1559C" w:rsidRDefault="00C1559C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36692185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6B7C261E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761A302F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789520BF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1DF7F783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麥香QQ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BF665AE" w14:textId="0EB48564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香醇奶茶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A"/>
            </w:tcBorders>
            <w:shd w:val="clear" w:color="auto" w:fill="auto"/>
            <w:vAlign w:val="center"/>
          </w:tcPr>
          <w:p w14:paraId="6D824F94" w14:textId="675996CA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蔬菜雞湯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4630EBA6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60CE47EE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251B6B66" w:rsidR="00C1559C" w:rsidRDefault="00FD7CB5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大骨湯</w:t>
            </w:r>
          </w:p>
        </w:tc>
      </w:tr>
      <w:tr w:rsidR="00D13F53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D13F53" w:rsidRDefault="00D13F53" w:rsidP="00D13F53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D13F53" w:rsidRDefault="00D13F53" w:rsidP="00D13F53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475551B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</w:p>
          <w:p w14:paraId="071C2EF2" w14:textId="2F2C71F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</w:p>
          <w:p w14:paraId="5F41B70E" w14:textId="0DA02BF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16C99B6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</w:p>
          <w:p w14:paraId="007FE04A" w14:textId="2ADF62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5BCEA491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49FC3B8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A9935CB" w14:textId="6306DAE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 w:rsidR="009C70F8">
              <w:rPr>
                <w:rFonts w:hint="eastAsia"/>
                <w:b/>
                <w:sz w:val="13"/>
                <w:szCs w:val="13"/>
              </w:rPr>
              <w:t>.2</w:t>
            </w:r>
          </w:p>
          <w:p w14:paraId="12B19D4B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0B95384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70D54B84" w14:textId="2ADABF3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5E02F2C9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47939D2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2</w:t>
            </w:r>
          </w:p>
          <w:p w14:paraId="5BF2AB36" w14:textId="273449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.7</w:t>
            </w:r>
          </w:p>
          <w:p w14:paraId="079F1AA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66921ADE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20BEA3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2C16F85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7C0E9F">
              <w:rPr>
                <w:b/>
                <w:sz w:val="13"/>
                <w:szCs w:val="13"/>
              </w:rPr>
              <w:t>6</w:t>
            </w:r>
          </w:p>
          <w:p w14:paraId="4B8BC665" w14:textId="48576FA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 w:rsidR="007C0E9F">
              <w:rPr>
                <w:b/>
                <w:sz w:val="13"/>
                <w:szCs w:val="13"/>
              </w:rPr>
              <w:t>8</w:t>
            </w:r>
          </w:p>
          <w:p w14:paraId="4C46E59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3659170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.1</w:t>
            </w:r>
          </w:p>
          <w:p w14:paraId="49F9CCDF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253B1F8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>
              <w:rPr>
                <w:rFonts w:hint="eastAsia"/>
                <w:b/>
                <w:sz w:val="12"/>
                <w:szCs w:val="12"/>
              </w:rPr>
              <w:t>2.</w:t>
            </w:r>
            <w:r w:rsidR="007C0E9F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44DBF8F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7C0E9F">
              <w:rPr>
                <w:rFonts w:hint="eastAsia"/>
                <w:b/>
                <w:sz w:val="13"/>
                <w:szCs w:val="13"/>
              </w:rPr>
              <w:t>7</w:t>
            </w:r>
          </w:p>
          <w:p w14:paraId="5551B516" w14:textId="5DE42AF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.8</w:t>
            </w:r>
          </w:p>
          <w:p w14:paraId="3A9CE555" w14:textId="22ABF1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73EB741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</w:t>
            </w:r>
          </w:p>
          <w:p w14:paraId="75DBC54C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2522FE8D" w:rsidR="00D13F53" w:rsidRPr="007A4639" w:rsidRDefault="00D13F53" w:rsidP="00D13F53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002A85B0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2BEADA12" w14:textId="65C42AD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2.3</w:t>
            </w:r>
          </w:p>
          <w:p w14:paraId="6BBC9FF4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2D0D6CD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1.4</w:t>
            </w:r>
          </w:p>
          <w:p w14:paraId="5146B46D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4CAA051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71D1A58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6.5</w:t>
            </w:r>
          </w:p>
          <w:p w14:paraId="6BA754CA" w14:textId="0EE5F54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.1</w:t>
            </w:r>
          </w:p>
          <w:p w14:paraId="0D6CB103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54E9141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3BC7C562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5F5849B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5F02300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7C0E9F">
              <w:rPr>
                <w:b/>
                <w:sz w:val="13"/>
                <w:szCs w:val="13"/>
              </w:rPr>
              <w:t>3</w:t>
            </w:r>
          </w:p>
          <w:p w14:paraId="0CABDAEF" w14:textId="1C64F87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7C0E9F">
              <w:rPr>
                <w:b/>
                <w:sz w:val="13"/>
                <w:szCs w:val="13"/>
              </w:rPr>
              <w:t>6</w:t>
            </w:r>
          </w:p>
          <w:p w14:paraId="37FAA837" w14:textId="5A5BDEE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6900C3D1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</w:p>
          <w:p w14:paraId="6B01C4E2" w14:textId="5215B1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438CF4C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7D7E173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7C0E9F">
              <w:rPr>
                <w:b/>
                <w:sz w:val="13"/>
                <w:szCs w:val="13"/>
              </w:rPr>
              <w:t>3</w:t>
            </w:r>
          </w:p>
          <w:p w14:paraId="189423E2" w14:textId="098006B0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.6</w:t>
            </w:r>
          </w:p>
          <w:p w14:paraId="063148E2" w14:textId="3CE77D8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3BE1F0D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.4</w:t>
            </w:r>
          </w:p>
          <w:p w14:paraId="58A174A3" w14:textId="04E1795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24F6929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 w:rsidR="009C70F8">
              <w:rPr>
                <w:rFonts w:hint="eastAsia"/>
                <w:b/>
                <w:sz w:val="12"/>
                <w:szCs w:val="12"/>
              </w:rPr>
              <w:t>2.9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5162B423" w:rsidR="00D13F53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479E1A5" w14:textId="19EEA55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62D25F5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4AFFE5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</w:p>
          <w:p w14:paraId="712DE0B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34051FE1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.8</w:t>
            </w:r>
          </w:p>
        </w:tc>
      </w:tr>
      <w:tr w:rsidR="00D13F53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218C2C43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2C9B9AAF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33595501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4DD8E730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518985ED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59F4D364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5BE50DAB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08675850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6238AA60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453FE6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0074E5D7" w:rsidR="00D13F53" w:rsidRDefault="00453FE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D13F53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198ADB29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37BFA8D9" w:rsidR="00D13F53" w:rsidRDefault="007C0E9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1517" w:type="dxa"/>
          </w:tcPr>
          <w:p w14:paraId="367B423B" w14:textId="6582EE2B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056C9862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6FDDA8D1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435CBF42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176625E9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2B105F66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43D8E10C" w:rsidR="00D13F53" w:rsidRDefault="00453FE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62AFEF67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13F53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7F067F0B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5457B7CD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17" w:type="dxa"/>
          </w:tcPr>
          <w:p w14:paraId="2E4F5326" w14:textId="4A62E938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5B979B48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5BFB0965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1BA98529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71FF56CA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7C0E9F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7B10C1A2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763055D9" w:rsidR="00D13F53" w:rsidRDefault="00453FE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6DBDD4DA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9C70F8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3F53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3744D051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75F16377" w:rsidR="00D13F53" w:rsidRDefault="00D13F53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6</w:t>
            </w:r>
            <w:r w:rsidR="007C0E9F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7</w:t>
            </w:r>
          </w:p>
        </w:tc>
        <w:tc>
          <w:tcPr>
            <w:tcW w:w="1517" w:type="dxa"/>
          </w:tcPr>
          <w:p w14:paraId="06590C10" w14:textId="3EF016DA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 w:rsidR="007C0E9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22C8CD2C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62E29403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9C70F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7C0E9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6823A2F4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7C0E9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7F961C23" w:rsidR="00D13F53" w:rsidRDefault="007C0E9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685C89D6" w:rsidR="00D13F53" w:rsidRDefault="00D13F53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7C0E9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3C7E7A8" w:rsidR="00D13F53" w:rsidRDefault="00453FE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02218BDC" w:rsidR="00D13F53" w:rsidRDefault="009C70F8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453FE6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75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C08B" w14:textId="77777777" w:rsidR="006958CC" w:rsidRDefault="006958CC" w:rsidP="00E04EF1">
      <w:r>
        <w:separator/>
      </w:r>
    </w:p>
  </w:endnote>
  <w:endnote w:type="continuationSeparator" w:id="0">
    <w:p w14:paraId="0A7E0E69" w14:textId="77777777" w:rsidR="006958CC" w:rsidRDefault="006958CC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2866" w14:textId="77777777" w:rsidR="006958CC" w:rsidRDefault="006958CC" w:rsidP="00E04EF1">
      <w:r>
        <w:separator/>
      </w:r>
    </w:p>
  </w:footnote>
  <w:footnote w:type="continuationSeparator" w:id="0">
    <w:p w14:paraId="3C05CAF1" w14:textId="77777777" w:rsidR="006958CC" w:rsidRDefault="006958CC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40C9C"/>
    <w:rsid w:val="0014757B"/>
    <w:rsid w:val="00147C68"/>
    <w:rsid w:val="00187EC6"/>
    <w:rsid w:val="00190A9B"/>
    <w:rsid w:val="00193AFD"/>
    <w:rsid w:val="001B7DD7"/>
    <w:rsid w:val="00242681"/>
    <w:rsid w:val="00242E31"/>
    <w:rsid w:val="00245560"/>
    <w:rsid w:val="00251808"/>
    <w:rsid w:val="002534A2"/>
    <w:rsid w:val="00281A63"/>
    <w:rsid w:val="00290233"/>
    <w:rsid w:val="00290D4F"/>
    <w:rsid w:val="00296E5B"/>
    <w:rsid w:val="002A14D9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13E8A"/>
    <w:rsid w:val="00421920"/>
    <w:rsid w:val="00453FE6"/>
    <w:rsid w:val="00455DCD"/>
    <w:rsid w:val="0048662E"/>
    <w:rsid w:val="004C47B5"/>
    <w:rsid w:val="004F64EA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958CC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7C0E9F"/>
    <w:rsid w:val="00861D5E"/>
    <w:rsid w:val="008827FE"/>
    <w:rsid w:val="008962D9"/>
    <w:rsid w:val="008C66E3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C70F8"/>
    <w:rsid w:val="009E5CC4"/>
    <w:rsid w:val="00A0748A"/>
    <w:rsid w:val="00A1061D"/>
    <w:rsid w:val="00A10ED9"/>
    <w:rsid w:val="00A133C4"/>
    <w:rsid w:val="00A24C50"/>
    <w:rsid w:val="00A37621"/>
    <w:rsid w:val="00A560F8"/>
    <w:rsid w:val="00A71C66"/>
    <w:rsid w:val="00A8290F"/>
    <w:rsid w:val="00B0074E"/>
    <w:rsid w:val="00B30445"/>
    <w:rsid w:val="00B63F22"/>
    <w:rsid w:val="00BB0BD2"/>
    <w:rsid w:val="00BC3911"/>
    <w:rsid w:val="00BF6CB1"/>
    <w:rsid w:val="00C05B2F"/>
    <w:rsid w:val="00C11CDE"/>
    <w:rsid w:val="00C1559C"/>
    <w:rsid w:val="00C17B38"/>
    <w:rsid w:val="00C74888"/>
    <w:rsid w:val="00C7623F"/>
    <w:rsid w:val="00C87576"/>
    <w:rsid w:val="00CB1582"/>
    <w:rsid w:val="00CD0FD2"/>
    <w:rsid w:val="00CE699D"/>
    <w:rsid w:val="00CF20BD"/>
    <w:rsid w:val="00D13F53"/>
    <w:rsid w:val="00D1457D"/>
    <w:rsid w:val="00D25491"/>
    <w:rsid w:val="00D36C1D"/>
    <w:rsid w:val="00D4574A"/>
    <w:rsid w:val="00D63F63"/>
    <w:rsid w:val="00D739F7"/>
    <w:rsid w:val="00D86087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72538"/>
    <w:rsid w:val="00EB54ED"/>
    <w:rsid w:val="00EF244A"/>
    <w:rsid w:val="00F02D8C"/>
    <w:rsid w:val="00F20821"/>
    <w:rsid w:val="00F21564"/>
    <w:rsid w:val="00F55375"/>
    <w:rsid w:val="00F626E2"/>
    <w:rsid w:val="00F92BA7"/>
    <w:rsid w:val="00F9310B"/>
    <w:rsid w:val="00FA084F"/>
    <w:rsid w:val="00FD6DA7"/>
    <w:rsid w:val="00FD7CB5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2021-09-22T01:34:00Z</cp:lastPrinted>
  <dcterms:created xsi:type="dcterms:W3CDTF">2021-10-01T07:01:00Z</dcterms:created>
  <dcterms:modified xsi:type="dcterms:W3CDTF">2021-10-08T01:05:00Z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